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56082"/>
          <w:sz w:val="44"/>
        </w:rPr>
        <w:t>Google-Docs-Ready Corporate Travel Policy Template</w:t>
      </w:r>
    </w:p>
    <w:p>
      <w:pPr>
        <w:jc w:val="center"/>
      </w:pPr>
      <w:r>
        <w:rPr>
          <w:i/>
          <w:color w:val="303030"/>
          <w:sz w:val="21"/>
        </w:rPr>
        <w:t>Import this DOCX into Google Docs and customize the bracketed fields</w:t>
      </w:r>
    </w:p>
    <w:p>
      <w:pPr>
        <w:spacing w:after="80" w:line="264" w:lineRule="auto"/>
      </w:pPr>
      <w:r>
        <w:rPr>
          <w:sz w:val="21"/>
        </w:rPr>
        <w:t>Company: [Company Name]    Effective date: [Date]    Policy owner: [HR / Finance / Operations]</w:t>
      </w:r>
    </w:p>
    <w:p>
      <w:pPr>
        <w:spacing w:before="240" w:after="80"/>
      </w:pPr>
      <w:r>
        <w:rPr>
          <w:b/>
          <w:color w:val="156082"/>
          <w:sz w:val="28"/>
        </w:rPr>
        <w:t>1. Purpose</w:t>
      </w:r>
    </w:p>
    <w:p>
      <w:pPr>
        <w:spacing w:after="80" w:line="264" w:lineRule="auto"/>
      </w:pPr>
      <w:r>
        <w:rPr>
          <w:sz w:val="21"/>
        </w:rPr>
        <w:t>This Travel Policy explains who may travel on behalf of [Company], how travel must be approved and booked, what expenses are reimbursable, and how emergencies and exceptions are handled.</w:t>
      </w:r>
    </w:p>
    <w:p>
      <w:pPr>
        <w:spacing w:before="240" w:after="80"/>
      </w:pPr>
      <w:r>
        <w:rPr>
          <w:b/>
          <w:color w:val="156082"/>
          <w:sz w:val="28"/>
        </w:rPr>
        <w:t>2. Scope</w:t>
      </w:r>
    </w:p>
    <w:p>
      <w:pPr>
        <w:spacing w:after="80" w:line="264" w:lineRule="auto"/>
      </w:pPr>
      <w:r>
        <w:rPr>
          <w:sz w:val="21"/>
        </w:rPr>
        <w:t>This policy applies to employees and approved contractors traveling for business purposes.</w:t>
      </w:r>
    </w:p>
    <w:p>
      <w:pPr>
        <w:spacing w:before="240" w:after="80"/>
      </w:pPr>
      <w:r>
        <w:rPr>
          <w:b/>
          <w:color w:val="156082"/>
          <w:sz w:val="28"/>
        </w:rPr>
        <w:t>3. Approvals</w:t>
      </w:r>
    </w:p>
    <w:p>
      <w:pPr>
        <w:spacing w:after="80" w:line="264" w:lineRule="auto"/>
      </w:pPr>
      <w:r>
        <w:rPr>
          <w:sz w:val="21"/>
        </w:rPr>
        <w:t>Manager approval is required for trips under $1,000; department-head approval for $1,001-$5,000; CFO or owner approval for higher-cost trips, international travel, or policy exceptions.</w:t>
      </w:r>
    </w:p>
    <w:p>
      <w:pPr>
        <w:spacing w:before="240" w:after="80"/>
      </w:pPr>
      <w:r>
        <w:rPr>
          <w:b/>
          <w:color w:val="156082"/>
          <w:sz w:val="28"/>
        </w:rPr>
        <w:t>4. Booking rules</w:t>
      </w:r>
    </w:p>
    <w:p>
      <w:pPr>
        <w:spacing w:after="80" w:line="264" w:lineRule="auto"/>
      </w:pPr>
      <w:r>
        <w:rPr>
          <w:sz w:val="21"/>
        </w:rPr>
        <w:t>Travelers must use approved vendors or booking channels when available. Domestic travel should normally be booked at least 14 days in advance; international travel at least 21 days in advance when practical.</w:t>
      </w:r>
    </w:p>
    <w:p>
      <w:pPr>
        <w:spacing w:before="240" w:after="80"/>
      </w:pPr>
      <w:r>
        <w:rPr>
          <w:b/>
          <w:color w:val="156082"/>
          <w:sz w:val="28"/>
        </w:rPr>
        <w:t>5. Expense rules</w:t>
      </w:r>
    </w:p>
    <w:p>
      <w:pPr>
        <w:spacing w:after="80" w:line="264" w:lineRule="auto"/>
      </w:pPr>
      <w:r>
        <w:rPr>
          <w:sz w:val="21"/>
        </w:rPr>
        <w:t>Lodging, meals, ground transportation, mileage, parking, baggage fees, and internet reimbursement limits are listed in Appendix A.</w:t>
      </w:r>
    </w:p>
    <w:p>
      <w:pPr>
        <w:spacing w:before="240" w:after="80"/>
      </w:pPr>
      <w:r>
        <w:rPr>
          <w:b/>
          <w:color w:val="156082"/>
          <w:sz w:val="28"/>
        </w:rPr>
        <w:t>6. Reimbursement timeline</w:t>
      </w:r>
    </w:p>
    <w:p>
      <w:pPr>
        <w:spacing w:after="80" w:line="264" w:lineRule="auto"/>
      </w:pPr>
      <w:r>
        <w:rPr>
          <w:sz w:val="21"/>
        </w:rPr>
        <w:t>Expense reports are due within 15 days after trip completion. Receipts are required for expenses above $25 unless prohibited by local custom or emergency conditions.</w:t>
      </w:r>
    </w:p>
    <w:p>
      <w:pPr>
        <w:spacing w:before="240" w:after="80"/>
      </w:pPr>
      <w:r>
        <w:rPr>
          <w:b/>
          <w:color w:val="156082"/>
          <w:sz w:val="28"/>
        </w:rPr>
        <w:t>7. Duty of care</w:t>
      </w:r>
    </w:p>
    <w:p>
      <w:pPr>
        <w:spacing w:after="80" w:line="264" w:lineRule="auto"/>
      </w:pPr>
      <w:r>
        <w:rPr>
          <w:sz w:val="21"/>
        </w:rPr>
        <w:t>International travelers must provide itinerary, lodging, and emergency contact details before departure. High-risk destinations require written approval and a documented mitigation plan.</w:t>
      </w:r>
    </w:p>
    <w:p>
      <w:pPr>
        <w:spacing w:before="240" w:after="80"/>
      </w:pPr>
      <w:r>
        <w:rPr>
          <w:b/>
          <w:color w:val="156082"/>
          <w:sz w:val="28"/>
        </w:rPr>
        <w:t>8. Exceptions</w:t>
      </w:r>
    </w:p>
    <w:p>
      <w:pPr>
        <w:spacing w:after="80" w:line="264" w:lineRule="auto"/>
      </w:pPr>
      <w:r>
        <w:rPr>
          <w:sz w:val="21"/>
        </w:rPr>
        <w:t>Policy exceptions must be documented in writing and approved before travel when possible.</w:t>
      </w:r>
    </w:p>
    <w:p>
      <w:pPr>
        <w:spacing w:before="240" w:after="80"/>
      </w:pPr>
      <w:r>
        <w:rPr>
          <w:b/>
          <w:color w:val="156082"/>
          <w:sz w:val="28"/>
        </w:rPr>
        <w:t>9. Audit and enforcement</w:t>
      </w:r>
    </w:p>
    <w:p>
      <w:pPr>
        <w:spacing w:after="80" w:line="264" w:lineRule="auto"/>
      </w:pPr>
      <w:r>
        <w:rPr>
          <w:sz w:val="21"/>
        </w:rPr>
        <w:t>Finance will conduct quarterly sample audits. Repeated noncompliance may result in denied reimbursement or disciplinary action consistent with company policy.</w:t>
      </w:r>
    </w:p>
    <w:p>
      <w:pPr>
        <w:spacing w:before="240" w:after="80"/>
      </w:pPr>
      <w:r>
        <w:rPr>
          <w:b/>
          <w:color w:val="156082"/>
          <w:sz w:val="28"/>
        </w:rPr>
        <w:t>Appendix A - fill in your company limits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  <w:vAlign w:val="center"/>
            <w:shd w:fill="D9EAF4"/>
          </w:tcPr>
          <w:p>
            <w:pPr>
              <w:spacing w:after="0" w:before="0"/>
            </w:pPr>
            <w:r>
              <w:rPr>
                <w:b/>
                <w:color w:val="303030"/>
                <w:sz w:val="19"/>
              </w:rPr>
              <w:t>Category</w:t>
            </w:r>
          </w:p>
        </w:tc>
        <w:tc>
          <w:tcPr>
            <w:tcW w:type="dxa" w:w="2484"/>
            <w:vAlign w:val="center"/>
            <w:shd w:fill="D9EAF4"/>
          </w:tcPr>
          <w:p>
            <w:pPr>
              <w:spacing w:after="0" w:before="0"/>
            </w:pPr>
            <w:r>
              <w:rPr>
                <w:b/>
                <w:color w:val="303030"/>
                <w:sz w:val="19"/>
              </w:rPr>
              <w:t>Standard limit</w:t>
            </w:r>
          </w:p>
        </w:tc>
        <w:tc>
          <w:tcPr>
            <w:tcW w:type="dxa" w:w="2484"/>
            <w:vAlign w:val="center"/>
            <w:shd w:fill="D9EAF4"/>
          </w:tcPr>
          <w:p>
            <w:pPr>
              <w:spacing w:after="0" w:before="0"/>
            </w:pPr>
            <w:r>
              <w:rPr>
                <w:b/>
                <w:color w:val="303030"/>
                <w:sz w:val="19"/>
              </w:rPr>
              <w:t>Exception rule</w:t>
            </w:r>
          </w:p>
        </w:tc>
        <w:tc>
          <w:tcPr>
            <w:tcW w:type="dxa" w:w="2484"/>
            <w:vAlign w:val="center"/>
            <w:shd w:fill="D9EAF4"/>
          </w:tcPr>
          <w:p>
            <w:pPr>
              <w:spacing w:after="0" w:before="0"/>
            </w:pPr>
            <w:r>
              <w:rPr>
                <w:b/>
                <w:color w:val="303030"/>
                <w:sz w:val="19"/>
              </w:rPr>
              <w:t>Notes</w:t>
            </w:r>
          </w:p>
        </w:tc>
      </w:tr>
      <w:tr>
        <w:tc>
          <w:tcPr>
            <w:tcW w:type="dxa" w:w="2484"/>
            <w:vAlign w:val="center"/>
          </w:tcPr>
          <w:p>
            <w:pPr>
              <w:spacing w:after="0" w:before="0"/>
            </w:pPr>
            <w:r>
              <w:rPr>
                <w:sz w:val="19"/>
              </w:rPr>
              <w:t>Meals</w:t>
            </w:r>
          </w:p>
        </w:tc>
        <w:tc>
          <w:tcPr>
            <w:tcW w:type="dxa" w:w="2484"/>
            <w:vAlign w:val="center"/>
          </w:tcPr>
          <w:p>
            <w:pPr>
              <w:spacing w:after="0" w:before="0"/>
            </w:pPr>
            <w:r>
              <w:rPr>
                <w:sz w:val="19"/>
              </w:rPr>
              <w:t>[Use GSA baseline or company cap]</w:t>
            </w:r>
          </w:p>
        </w:tc>
        <w:tc>
          <w:tcPr>
            <w:tcW w:type="dxa" w:w="2484"/>
            <w:vAlign w:val="center"/>
          </w:tcPr>
          <w:p>
            <w:pPr>
              <w:spacing w:after="0" w:before="0"/>
            </w:pPr>
            <w:r>
              <w:rPr>
                <w:sz w:val="19"/>
              </w:rPr>
              <w:t>[Pre-approved client meal exception]</w:t>
            </w:r>
          </w:p>
        </w:tc>
        <w:tc>
          <w:tcPr>
            <w:tcW w:type="dxa" w:w="2484"/>
            <w:vAlign w:val="center"/>
          </w:tcPr>
          <w:p>
            <w:pPr>
              <w:spacing w:after="0" w:before="0"/>
            </w:pPr>
            <w:r>
              <w:rPr>
                <w:sz w:val="19"/>
              </w:rPr>
            </w:r>
          </w:p>
        </w:tc>
      </w:tr>
      <w:tr>
        <w:tc>
          <w:tcPr>
            <w:tcW w:type="dxa" w:w="2484"/>
            <w:vAlign w:val="center"/>
          </w:tcPr>
          <w:p>
            <w:pPr>
              <w:spacing w:after="0" w:before="0"/>
            </w:pPr>
            <w:r>
              <w:rPr>
                <w:sz w:val="19"/>
              </w:rPr>
              <w:t>Lodging</w:t>
            </w:r>
          </w:p>
        </w:tc>
        <w:tc>
          <w:tcPr>
            <w:tcW w:type="dxa" w:w="2484"/>
            <w:vAlign w:val="center"/>
          </w:tcPr>
          <w:p>
            <w:pPr>
              <w:spacing w:after="0" w:before="0"/>
            </w:pPr>
            <w:r>
              <w:rPr>
                <w:sz w:val="19"/>
              </w:rPr>
              <w:t>[Nightly cap by market tier]</w:t>
            </w:r>
          </w:p>
        </w:tc>
        <w:tc>
          <w:tcPr>
            <w:tcW w:type="dxa" w:w="2484"/>
            <w:vAlign w:val="center"/>
          </w:tcPr>
          <w:p>
            <w:pPr>
              <w:spacing w:after="0" w:before="0"/>
            </w:pPr>
            <w:r>
              <w:rPr>
                <w:sz w:val="19"/>
              </w:rPr>
              <w:t>[Executive/client-facing exception]</w:t>
            </w:r>
          </w:p>
        </w:tc>
        <w:tc>
          <w:tcPr>
            <w:tcW w:type="dxa" w:w="2484"/>
            <w:vAlign w:val="center"/>
          </w:tcPr>
          <w:p>
            <w:pPr>
              <w:spacing w:after="0" w:before="0"/>
            </w:pPr>
            <w:r>
              <w:rPr>
                <w:sz w:val="19"/>
              </w:rPr>
            </w:r>
          </w:p>
        </w:tc>
      </w:tr>
      <w:tr>
        <w:tc>
          <w:tcPr>
            <w:tcW w:type="dxa" w:w="2484"/>
            <w:vAlign w:val="center"/>
          </w:tcPr>
          <w:p>
            <w:pPr>
              <w:spacing w:after="0" w:before="0"/>
            </w:pPr>
            <w:r>
              <w:rPr>
                <w:sz w:val="19"/>
              </w:rPr>
              <w:t>Mileage</w:t>
            </w:r>
          </w:p>
        </w:tc>
        <w:tc>
          <w:tcPr>
            <w:tcW w:type="dxa" w:w="2484"/>
            <w:vAlign w:val="center"/>
          </w:tcPr>
          <w:p>
            <w:pPr>
              <w:spacing w:after="0" w:before="0"/>
            </w:pPr>
            <w:r>
              <w:rPr>
                <w:sz w:val="19"/>
              </w:rPr>
              <w:t>[IRS rate or company rate]</w:t>
            </w:r>
          </w:p>
        </w:tc>
        <w:tc>
          <w:tcPr>
            <w:tcW w:type="dxa" w:w="2484"/>
            <w:vAlign w:val="center"/>
          </w:tcPr>
          <w:p>
            <w:pPr>
              <w:spacing w:after="0" w:before="0"/>
            </w:pPr>
            <w:r>
              <w:rPr>
                <w:sz w:val="19"/>
              </w:rPr>
              <w:t>[N/A]</w:t>
            </w:r>
          </w:p>
        </w:tc>
        <w:tc>
          <w:tcPr>
            <w:tcW w:type="dxa" w:w="2484"/>
            <w:vAlign w:val="center"/>
          </w:tcPr>
          <w:p>
            <w:pPr>
              <w:spacing w:after="0" w:before="0"/>
            </w:pPr>
            <w:r>
              <w:rPr>
                <w:sz w:val="19"/>
              </w:rPr>
            </w:r>
          </w:p>
        </w:tc>
      </w:tr>
      <w:tr>
        <w:tc>
          <w:tcPr>
            <w:tcW w:type="dxa" w:w="2484"/>
            <w:vAlign w:val="center"/>
          </w:tcPr>
          <w:p>
            <w:pPr>
              <w:spacing w:after="0" w:before="0"/>
            </w:pPr>
            <w:r>
              <w:rPr>
                <w:sz w:val="19"/>
              </w:rPr>
              <w:t>Ground transport</w:t>
            </w:r>
          </w:p>
        </w:tc>
        <w:tc>
          <w:tcPr>
            <w:tcW w:type="dxa" w:w="2484"/>
            <w:vAlign w:val="center"/>
          </w:tcPr>
          <w:p>
            <w:pPr>
              <w:spacing w:after="0" w:before="0"/>
            </w:pPr>
            <w:r>
              <w:rPr>
                <w:sz w:val="19"/>
              </w:rPr>
              <w:t>[Ride-share/taxi cap]</w:t>
            </w:r>
          </w:p>
        </w:tc>
        <w:tc>
          <w:tcPr>
            <w:tcW w:type="dxa" w:w="2484"/>
            <w:vAlign w:val="center"/>
          </w:tcPr>
          <w:p>
            <w:pPr>
              <w:spacing w:after="0" w:before="0"/>
            </w:pPr>
            <w:r>
              <w:rPr>
                <w:sz w:val="19"/>
              </w:rPr>
              <w:t>[Late-night safety exception]</w:t>
            </w:r>
          </w:p>
        </w:tc>
        <w:tc>
          <w:tcPr>
            <w:tcW w:type="dxa" w:w="2484"/>
            <w:vAlign w:val="center"/>
          </w:tcPr>
          <w:p>
            <w:pPr>
              <w:spacing w:after="0" w:before="0"/>
            </w:pPr>
            <w:r>
              <w:rPr>
                <w:sz w:val="19"/>
              </w:rPr>
            </w:r>
          </w:p>
        </w:tc>
      </w:tr>
    </w:tbl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