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56082"/>
          <w:sz w:val="44"/>
        </w:rPr>
        <w:t>Traveler Quick-Start Sheet</w:t>
      </w:r>
    </w:p>
    <w:p>
      <w:pPr>
        <w:spacing w:before="240" w:after="80"/>
      </w:pPr>
      <w:r>
        <w:rPr>
          <w:b/>
          <w:color w:val="156082"/>
          <w:sz w:val="28"/>
        </w:rPr>
        <w:t>Before you book</w:t>
      </w:r>
    </w:p>
    <w:p>
      <w:pPr>
        <w:pStyle w:val="ListBullet"/>
        <w:spacing w:after="0"/>
      </w:pPr>
      <w:r>
        <w:rPr>
          <w:sz w:val="21"/>
        </w:rPr>
        <w:t>Get manager approval first.</w:t>
      </w:r>
    </w:p>
    <w:p>
      <w:pPr>
        <w:pStyle w:val="ListBullet"/>
        <w:spacing w:after="0"/>
      </w:pPr>
      <w:r>
        <w:rPr>
          <w:sz w:val="21"/>
        </w:rPr>
        <w:t>Use approved booking channels if available.</w:t>
      </w:r>
    </w:p>
    <w:p>
      <w:pPr>
        <w:pStyle w:val="ListBullet"/>
        <w:spacing w:after="0"/>
      </w:pPr>
      <w:r>
        <w:rPr>
          <w:sz w:val="21"/>
        </w:rPr>
        <w:t>Check your expense caps and whether receipts will be required.</w:t>
      </w:r>
    </w:p>
    <w:p>
      <w:pPr>
        <w:pStyle w:val="ListBullet"/>
        <w:spacing w:after="0"/>
      </w:pPr>
      <w:r>
        <w:rPr>
          <w:sz w:val="21"/>
        </w:rPr>
        <w:t>For international trips, submit itinerary and emergency-contact details.</w:t>
      </w:r>
    </w:p>
    <w:p>
      <w:pPr>
        <w:spacing w:before="240" w:after="80"/>
      </w:pPr>
      <w:r>
        <w:rPr>
          <w:b/>
          <w:color w:val="156082"/>
          <w:sz w:val="28"/>
        </w:rPr>
        <w:t>During travel</w:t>
      </w:r>
    </w:p>
    <w:p>
      <w:pPr>
        <w:pStyle w:val="ListBullet"/>
        <w:spacing w:after="0"/>
      </w:pPr>
      <w:r>
        <w:rPr>
          <w:sz w:val="21"/>
        </w:rPr>
        <w:t>Keep receipts for required categories.</w:t>
      </w:r>
    </w:p>
    <w:p>
      <w:pPr>
        <w:pStyle w:val="ListBullet"/>
        <w:spacing w:after="0"/>
      </w:pPr>
      <w:r>
        <w:rPr>
          <w:sz w:val="21"/>
        </w:rPr>
        <w:t>Use approved payment methods where possible.</w:t>
      </w:r>
    </w:p>
    <w:p>
      <w:pPr>
        <w:pStyle w:val="ListBullet"/>
        <w:spacing w:after="0"/>
      </w:pPr>
      <w:r>
        <w:rPr>
          <w:sz w:val="21"/>
        </w:rPr>
        <w:t>Report safety incidents immediately.</w:t>
      </w:r>
    </w:p>
    <w:p>
      <w:pPr>
        <w:spacing w:before="240" w:after="80"/>
      </w:pPr>
      <w:r>
        <w:rPr>
          <w:b/>
          <w:color w:val="156082"/>
          <w:sz w:val="28"/>
        </w:rPr>
        <w:t>After travel</w:t>
      </w:r>
    </w:p>
    <w:p>
      <w:pPr>
        <w:pStyle w:val="ListBullet"/>
        <w:spacing w:after="0"/>
      </w:pPr>
      <w:r>
        <w:rPr>
          <w:sz w:val="21"/>
        </w:rPr>
        <w:t>Submit expenses within 15 days.</w:t>
      </w:r>
    </w:p>
    <w:p>
      <w:pPr>
        <w:pStyle w:val="ListBullet"/>
        <w:spacing w:after="0"/>
      </w:pPr>
      <w:r>
        <w:rPr>
          <w:sz w:val="21"/>
        </w:rPr>
        <w:t>Flag any policy exception clearly.</w:t>
      </w:r>
    </w:p>
    <w:p>
      <w:pPr>
        <w:pStyle w:val="ListBullet"/>
        <w:spacing w:after="0"/>
      </w:pPr>
      <w:r>
        <w:rPr>
          <w:sz w:val="21"/>
        </w:rPr>
        <w:t>Tell finance about any disputed or duplicate charges.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